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456 vom 14. Dezember 1994</w:t>
      </w:r>
    </w:p>
    <w:p>
      <w:r>
        <w:t>Bundesgericht (BGE), 1994-12-14, DE</w:t>
      </w:r>
    </w:p>
    <w:p>
      <w:r>
        <w:rPr>
          <w:b/>
        </w:rPr>
        <w:t xml:space="preserve">Quelle: </w:t>
      </w:r>
      <w:r>
        <w:t>https://mcp.opencaselaw.ch/entscheid/bge_120 IB 456</w:t>
      </w:r>
    </w:p>
    <w:p>
      <w:r>
        <w:t>FR: BGE 120 IB 456 du 14 décembre 1994</w:t>
      </w:r>
    </w:p>
    <w:p>
      <w:r>
        <w:t>IT: BGE 120 IB 456 del 14 dicembre 1994</w:t>
      </w:r>
    </w:p>
    <w:p>
      <w:pPr>
        <w:pStyle w:val="Heading2"/>
      </w:pPr>
      <w:r>
        <w:t>Regeste</w:t>
      </w:r>
    </w:p>
    <w:p>
      <w:r>
        <w:t>Regeste Art. 43 und 44 LSV; Erweiterung einer Schulanlage unter anderem mit dem Bau einer grösseren Parkierungsanlage; einzelfallweise Bestimmung der Empfindlichkeitsstufen. Ein Entwurf für die allgemein verbindliche Zuordnung der Empfindlichkeitsstufen kann grundsätzlich als Ausgangspunkt für die einzelfallweise Bestimmung dienen (E. 3). Prinzipien für die einzelfallweise Bestimmung; Verhältnis von Art. 43 Abs. 1 zu Art. 43 Abs. 2 LSV; Beurteilungsspielraum der Behörden (E. 4a-c). Einer Zone für öffentliche Bauten und Anlagen kann die Empfindlichkeitsstufe III zugeordnet werden, wenn in dieser Zone nach der massgebenden Bau- und Zonenordnung mässig störende Anlagen im Sinne von Art. 43 Abs. 1 lit. c LSV zugelassen sind (E. 4d). Bei einer Lärmprognose ist davon auszugehen, dass eine Parkierungsanlage als Ganzes benützt wird; Unzulässigkeit, eine solche Anlage für die Beurteilung in einen bestehenden und einen neuen Anlageteil aufzuspalten (E. 5a und 5b). Im Rahmen des Vorsorgeprinzips müssen gegebenenfalls unabhängig von einer Überschreitung der Belastungsgrenzwerte Emissionsbegrenzungen getroffen werden (Art. 11 Abs. 2 USG, Art. 7 Abs. 1 lit. a LSV; E. 5d). Notwendigkeit der gegenseitigen Abstimmung von Empfindlichkeitsstufen am Zonenrand; Konsequenzen (E. 5e).</w:t>
      </w:r>
    </w:p>
    <w:p>
      <w:pPr>
        <w:pStyle w:val="Heading2"/>
      </w:pPr>
      <w:r>
        <w:t>Erwägungen</w:t>
      </w:r>
    </w:p>
    <w:p>
      <w:r>
        <w:rPr>
          <w:b/>
        </w:rPr>
        <w:t>E. 3</w:t>
      </w:r>
    </w:p>
    <w:p>
      <w:r>
        <w:t>Nach Auffassung der Beschwerdeführerin können die primär für die Besucher der neuen Mehrzweckhalle geplanten Parkplätze westlich des Schulhauses aus Gründen des Lärmschutzes nicht bewilligt werden. a) Gemäss Art. 44 Abs. 1 und 2 der Lärmschutz-Verordnung vom 15. Dezember 1985 (LSV; SR 814.41) haben die Kantone bis spätestens am 1. April 1997 den Nutzungszonen nach Art. 14 ff. des Bundesgesetzes über die Raumplanung vom BGE 120 Ib 456 S. 459 22. Juni 1979 (Raumplanungsgesetz, RPG; SR 700) Empfindlichkeitsstufen (ES) zuzuordnen. Bis zur allgemein verbindlichen Festsetzung in den Nutzungsplänen oder Baureglementen sind die Empfindlichkeitsstufen im Einzelfall zu bestimmen ( Art. 44 Abs. 3 LSV ). Wird so vorgegangen, entfalten diese keine über das einzelne Verfahren hinausgehende Rechtswirkungen ( BGE 120 Ib 89 E. 4c S. 95 f.; BGE 119 Ib 179 E. 2c S. 187 f. und E. 3 S. 191). b) Im vorliegenden Fall muss ein einzelfallweises Vorgehen eingeschlagen werden, weil in Hägendorf die Empfindlichkeitsstufen noch nicht allgemein verbindlich in der Ortsplanung festgesetzt wurden; es besteht insoweit lediglich ein Entwurf. Er sieht für die Zone für öffentliche Bauten und Anlagen, welcher das Parkplatzareal zugewiesen ist, die Empfindlichkeitsstufe III, und für die Wohnzone W2a, in welcher die Parzellen der Beschwerdeführer liegen, die Empfindlichkeitsstufe II vor. Das Verwaltungsgericht hielt sich an diese Vorgaben, was grundsätzlich nicht zu beanstanden ist ( BGE 120 Ib 89 E. 4c S. 95) und von den Verfahrensbeteiligten auch nicht kritisiert wird. Mit Blick auf die in Art. 43 Abs. 1 LSV vorgesehene allgemeine Regelung zwingt die vom Verwaltungsgericht übernommene Einteilung aber zur Frage, ob die genannten einzelfallweisen Zuordnungen sachgerecht sind.</w:t>
      </w:r>
    </w:p>
    <w:p>
      <w:r>
        <w:rPr>
          <w:b/>
        </w:rPr>
        <w:t>E. 4</w:t>
      </w:r>
    </w:p>
    <w:p>
      <w:r>
        <w:t>a) Die Zuordnung der Empfindlichkeitsstufen zu den einzelnen Nutzungszonen stellt einen Planungsakt dar, welcher eine bestimmte Nutzungsordnung konkretisiert, präzisiert und in einem erheblichen Masse auch materiell ergänzt. Der bundesrechtliche Teil der Nutzungsordnung (Lärmschutz) muss auf den kantonalrechtlichen Teil abgestimmt, mit diesem koordiniert und harmonisiert sein (HEINZ AEMISEGGER, Aktuelle Fragen des Lärmschutzrechts in der Rechtsprechung des Bundesgerichts, URP 1994 S. 445; vgl. auch MARKUS NEFF, Die Auswirkungen der LSV auf die Nutzungsplanung, Diss. Zürich 1994, S. 145). Dafür knüpft die Lärmschutz-Verordnung an die im kantonalen Recht üblichen Kriterien über die Zulässigkeit störender Betriebe in den einzelnen Zonen an, welche im wesentlichen auch den §§ 29 ff. des Bau- und Zonenreglementes der Gemeinde Hägendorf (BZR) zugrunde liegen. Art. 43 Abs. 1 LSV sieht in Zonen mit einem erhöhten Lärmschutzbedürfnis die Empfindlichkeitsstufe I vor, bezeichnet die Empfindlichkeitsstufe II für Zonen, in denen keine störenden Betriebe zugelassen sind, legt die Empfindlichkeitsstufe III für Zonen mit mässig störenden Betrieben fest und ordnet die Empfindlichkeitsstufe IV für Zonen BGE 120 Ib 456 S. 460 an, in denen stark störende Betriebe zulässig sind, namentlich für Industriezonen. b) Bei der Zuordnung der Empfindlichkeitsstufen ist im Regelfall nach Art. 43 Abs. 1 LSV vorzugehen. Die in dieser Vorschrift enthaltenen Regeln sind als generelles Zuordnungsprinzip zu verstehen ( BGE 117 Ib 125 E. 4c S. 129), an welches sich die Behörden grundsätzlich zu halten haben. Das schliesst jedoch nicht aus, dass im Rahmen des Verordnungsvollzuges ein weiter Ermessensspielraum besteht ( BGE 120 Ib 287 E. 3c/bb S. 295; BGE 119 Ib 179 E. 2a S. 186). Gewisse Sachverhalte können gemäss Art. 43 Abs. 2 LSV beurteilt werden. Danach darf vom generellen Vorgehen abgewichen und eine Zone statt der Empfindlichkeitsstufe I oder II der jeweils nächsthöheren Stufe zugeordnet werden, wenn die Nutzungszone mit Lärm vorbelastet ist ("Aufstufung" oder "Höhereinstufung"). Diese Regelung hat primär alte Dorfkerne oder städtische Verhältnisse im Auge. Wenn sich Gemeinden für die Erhaltung des vorhandenen Wohnraumes und gegen die Entleerung ihrer Kerngebiete oder Innenstädte einsetzen, soll dies durch die Lärmschutz-Verordnung nicht verhindert werden ( BGE 117 Ib 125 E. 4c S. 129; KURT GILGEN, Lärmschutz und Raumplanung, Bern 1988, S. 94). Art. 43 Abs. 2 LSV kann auch bei kleineren Wohngebieten inmitten gewachsener Gewerbezonen in Betracht kommen ( BGE 115 Ib 456 E. 4 S. 64 f.). Von "Aufstufungen" ist nach der Rechtsprechung des Bundesgerichtes zurückhaltend Gebrauch zu machen ( BGE 115 Ib 456 E. 4 S. 465). c) Vorliegend steht eine "Aufstufung" nicht zur Diskussion. Die Zuordnung der Empfindlichkeitsstufen erfolgt daher nach Art. 43 Abs. 1 LSV . Dabei haben die zuständigen Behörden in erster Linie zu berücksichtigen, dass die Belastungsgrenzwerte, wie sie gemäss den Anhängen 3-7 zur LSV für die einzelnen Empfindlichkeitsstufen gelten, auf die raumplanerischen Festlegungen abgestimmt sind und der unterschiedlichen Lärmempfindlichkeit der verschiedenen Zonen Rechnung tragen ( BGE 117 Ib 125 E. 4a S. 128). Bei der Zuordnung der Empfindlichkeitsstufen ist weiter zu beachten, dass es den Kantonen oder Gemeinden obliegt, aufgrund einer umfassenden Interessenabwägung ( Art. 1 und 3 RPG ; BGE 119 Ia 362 E. 5a S. 372) die Nutzungspläne festzusetzen ( Art. 25 Abs. 1 RPG ) und innerhalb der Bauzonen nach Nutzungsart und -mass zu differenzieren. Für die Beurteilung der Lärmempfindlichkeit ist deshalb, wie das Bundesgericht bereits in BGE 120 Ib 456 S. 461 BGE 114 Ib 214 E. 3b S. 221 festhielt, grundsätzlich vom planungsrechtlich als zulässig bezeichneten Störungsmass auszugehen. Entsprechend seiner Zielsetzung im Bereiche des Immissionsschutzes beschränkt das Umweltschutzrecht des Bundes die Planungsfreiheit der Kantone und Gemeinden nur insoweit, als es verlangt, dass die von ihm für den Lärmschutz getroffenen Anforderungen erfüllt werden müssen (Urteil des Bundesgerichtes vom 25. März 1992 i.S. Gemeinde Sils i.D., E. 4c, publiziert in URP 1992 S. 621 f.). Schliesslich ist zu berücksichtigen, dass das in Art. 43 Abs. 1 LSV vorgesehene Zuordnungsschema auf Vereinfachungen beruht. Dem Bundesrat war es nicht möglich, alle in den Baugesetzen und -ordnungen bekannten Spezialzonen einzeln zu erfassen. Auch aus diesem Grunde muss den Behörden ein Spielraum gewährt werden (KURT GILGEN, a.a.O., S. 93 f.). d) Werden diese allgemeinen Grundsätze beachtet, so kann hier die einzelfallweise Bestimmung der Empfindlichkeitsstufe III für die Zone für öffentliche Bauten und Anlagen nicht beanstandet werden. Zwar sieht Art. 43 Abs. 1 lit. b LSV für solche Zonen primär die Stufe II vor. Die für die Zone für öffentliche Bauten und Anlagen geltenden Vorschriften im kommunalen Bau- und Zonenreglement (§ 37 BZR) lassen jedoch in dieser Zone nahezu alle denkbaren Nutzungen mit ganz unterschiedlichen Aus- und Einwirkungen auf die Nachbarschaft zu. So ist in der fraglichen Zone neben dem Bau von Schulanlagen oder eines Alters- und Pflegeheimes, was beides dort bereits besteht, zum Beispiel auch die Erstellung eines Spitals, eines Werkhofes, einer öffentlichen Parkplatz- oder einer anderen Anlage mit viel Publikumsverkehr denkbar. Die Zone für öffentliche Bauten und Anlagen nach dem Recht der Gemeinde Hägendorf ist daher einer Mischzone ähnlich, in welcher neben nicht störenden auch mässig störende Betriebe zulässig sind. Für solche Fälle erlaubt Art. 43 Abs. 1 lit. c LSV die Zuordnung der Empfindlichkeitsstufe III. e) Ebenfalls zu keiner grundsätzlichen Kritik gibt die einzelfallweise Bestimmung der Empfindlichkeitsstufe II für die benachbarte Wohnzone W2a Anlass. Gemäss § 29 Abs. 1 BZR sind in dieser Zone nur nichtstörende Gewerbe- und Dienstleistungsbetriebe zugelassen; es gilt daher im Regelfall die Empfindlichkeitsstufe II ( Art. 43 Abs. 1 lit. b LSV ), wovon auch das Verwaltungsgericht und die Beschwerdeführerin ausgehen. Allerdings fragt es sich, wie sich diese Empfindlichkeitsstufe mit derjenigen für das benachbarte, der Zone für öffentliche Bauten und Anlagen BGE 120 Ib 456 S. 462 zugeteilte Gebiet verträgt. Wie erwähnt sind manchen Nutzungen in einer solchen Zone Auswirkungen eigen, die sich möglicherweise mit der Empfindlichkeitsstufe II im unmittelbar benachbarten Wohngebiet nicht vertragen. Aus diesem Grunde verlangt die Rechtsprechung, dass bei der einzelfallweisen Bestimmung der Empfindlichkeitsstufen die lärmmässige Belastung der Umgebung mitzuberücksichtigen ist ( BGE 115 Ib 347 E. 2e S. 357). Dies bedingt eine sachgerechte Beurteilung der Lärmsituation ( Art. 40 LSV ). Wie es sich mit diesen Fragen verhält, ist im folgenden zu prüfen.</w:t>
      </w:r>
    </w:p>
    <w:p>
      <w:r>
        <w:rPr>
          <w:b/>
        </w:rPr>
        <w:t>E. 5</w:t>
      </w:r>
    </w:p>
    <w:p>
      <w:r>
        <w:t>a) Dem angefochtenen Urteil liegt eine gutachtlich erarbeitete Lärmprognose anhand von Berechnungen nach dem Anhang 6 zur LSV zugrunde. Dieser Anhang gilt unter anderem für die Beurteilung des Lärms grösserer Parkplätze ausserhalb von Strassen (Ziffer 1 Abs. 1 lit. d des Anhanges). Die Gutachter gehen davon aus, dass bezogen auf acht bestehende und 32 neue Parkplätze (das Bauvorhaben sieht freilich nur 31 "neue" Parkplätze vor) "ein Total" der nach unterschiedlichen Kriterien prognostizierten Lärmwerte des bestehenden und des neuen "Anlageteils" massgebend sei. Nach dem Bauprojekt sollen westlich des neuen Schultrakts insgesamt 39 oberirdische Parkplätze eingerichtet werden. Selbst wenn man mit dem Verwaltungsgericht annimmt ( Art. 105 Abs. 2 OG ), es habe die acht als "bestehend" bezeichneten Parkplätze wirklich gegeben, so erscheint es dennoch als unzulässig, die Parkierungsanlage im Rahmen einer Lärmprognose in einen bestehenden und einen neuen Anlagenteil aufzuspalten. In tatsächlicher Hinsicht ist für die Beurteilung davon auszugehen, dass die Parkierungsanlage als ganzes benützt werden wird. b) Unklarheit besteht auch hinsichtlich der Belegungsdichte der Anlage. Das Verwaltungsgericht behaftet die Gemeinde in Ziffer 2 des Dispositivs darauf, "dass die Parkplätze an höchstens 60 Abenden pro Jahr für Veranstaltungen voll belegt werden". Diese Nutzungsbeschränkung soll offenbar als Emissionsbegrenzung im Sinne von Art. 11 f. des Bundesgesetzes über den Umweltschutz vom 7. Oktober 1983 (Umweltschutzgesetz, USG; SR 814.01) wirken. Sie ist indessen namentlich unter Rückbezug auf das dem Urteil zugrunde liegende Gutachten unpräzis. Angenommen, neben den acht "vorbestehenden" Parkplätzen würden zusätzlich ständig dreissig der insgesamt 31 "neuen" Parkplätze benützt, so wäre damit die im Dispositiv formulierte Nutzungsbeschränkung dem Wortlaut nach zwar eingehalten, aber gleichzeitig die gutachtlich ermittelte Belastungssituation in Frage gestellt. Die vom Gutachten angenommene Belegungsdichte der Parkplatzanlage BGE 120 Ib 456 S. 463 weicht damit erheblich von jener ab, die nach Ziffer 2 des Urteilsdispositivs zulässig ist. Emissionsbegrenzungen, welche mit derartigen Unsicherheitsfaktoren verbunden sind, finden im Umweltschutzrecht keine Stütze. Im Rahmen einer Lärmprognose und -beurteilung wird man zweckmässigerweise zunächst davon ausgehen, die gesamte Parkplatzanlage stehe uneingeschränkt zur Benutzung offen. c) Diese Feststellungen führen zur Gutheissung der Verwaltungsgerichtsbeschwerde. Das angefochtene Urteil ist insoweit aufzuheben, als der Bau der 39 Parkplätze bewilligt und die Beschwerdeführerin mit Kosten belastet wurde. Gestützt auf Art. 114 Abs. 2 OG ist die Sache an das Verwaltungsgericht zur neuen Entscheidung zurückzuweisen. Soweit mit dem angefochtenen Urteil im übrigen die seinerzeitige Baubewilligung der Gemeinde Hägendorf bestätigt wurde, bleibt es vom vorliegenden Entscheid unberührt. Die Sache ist in bezug auf die Parkplätze noch nicht spruchreif. Als erstes wird im Sinne der vorstehenden Erwägungen eine neue Lärmprognose vorzunehmen sein. Anschliessend ist die Lärmsituation aufgrund der massgebenden Belastungsgrenzwerte zu beurteilen. Dabei wird zu entscheiden sein, ob es um eine neue ( Art. 25 Abs. 1 USG , Art. 7 LSV ) oder um eine (wesentlich) geänderte ortsfeste Anlage ( Art. 8 LSV ) geht. Je nach dem ist der Planungs- oder der Immissionsgrenzwert einzuhalten. Wie es sich damit verhält (vgl. dazu auch Art. 2 Abs. 2 LSV sowie BGE 116 Ib 435 E. 5d/bb S. 442 ff.), kann hier nicht entschieden werden, weil die Antwort auch von den noch zu erarbeitenden neuen Lärmerhebungen abhängt ( BGE 115 Ib 456 E. 5a S. 466). d) Im Rahmen der Neubeurteilung werden die kantonalen Behörden auch zu beachten haben, dass die Lärmimmissionen so weit begrenzt werden müssen, als dies technisch und betrieblich möglich sowie wirtschaftlich tragbar ist (Vorsorgeprinzip; Art. 11 Abs. 2 USG , Art. 7 Abs. 1 lit. a LSV , Art. 8 Abs. 1 LSV ; BGE 118 Ib 590 E. 3b S. 595 f.; BGE 115 Ib 456 E. 5b S. 466). Gegebenenfalls müssen daher unabhängig von einer allfälligen Überschreitung der massgebenden Belastungsgrenzwerte Emissionsbegrenzungen getroffen werden. Neben örtlich angepassten baulichen oder anderen Vorkehren fallen dazu auch Belegungsbeschränkungen der Parkfelder in Betracht. Dies allerdings nur, wenn sie eindeutig definiert und in der Praxis kontrollier- und durchsetzbar sind. e) Sollten sich trotz aller Anstrengungen keine Lösungen finden, welche sowohl dem Vorsorgeprinzip Rechnung tragen als auch die Einhaltung der BGE 120 Ib 456 S. 464 Belastungsgrenzwerte erlauben, so müssen die zuständigen kantonalen Behörden eine Neubeurteilung der Empfindlichkeitsstufen-Bestimmung in der benachbarten Wohnzone vornehmen. Dass in der Zone für öffentliche Bauten und Anlagen eine Mehrzweckhalle mit Parkierungsanlage zonenkonform ist, wurde bereits erwähnt (vorstehende E. 4d). Wird an dieser Zonierung mit Einschluss der Empfindlichkeitsstufe III festgehalten, so kann es nicht angehen, in der unmittelbaren Nachbarschaft generell oder einzelfallweise Empfindlichkeitsstufen zuzuordnen, welche eine beabsichtigte zonenkonforme Nutzung ungebührlich erschweren oder gar verunmöglichen. Am Zonenrand sind daher die Empfindlichkeitsstufen in Beachtung und Würdigung der planerischen Ausgangslage zweckmässig aufeinander abzustimmen. Dies mag dort nicht notwendig sein, wo genügend Platz ist, um zonenintern eine Pufferfläche einzuhalten, was hier nicht zutrifft. Vorliegend könnte deshalb für die Beurteilung des Parkplatzprojektes für die Wohnzone W2a im Umfange einer Bautiefe ebenfalls die Empfindlichkeitsstufe III angenommen werden. Der Umstand, dass bereits heute im Thalacker eine öffentliche Anlage besteht, die eine gewisse Lärmbelastung für die unmittelbare Umgebung mit sich bringt, würde ein solches Vorgehen ebenfalls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